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B33" w:rsidRPr="009C4B82" w:rsidTr="00337B33">
        <w:tc>
          <w:tcPr>
            <w:tcW w:w="9350" w:type="dxa"/>
            <w:shd w:val="clear" w:color="auto" w:fill="F2F2F2" w:themeFill="background1" w:themeFillShade="F2"/>
          </w:tcPr>
          <w:p w:rsidR="00337B33" w:rsidRPr="009C4B82" w:rsidRDefault="00A16497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VISTA Host Site:</w:t>
            </w:r>
            <w:r w:rsidR="00F93AA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201F3">
              <w:rPr>
                <w:rFonts w:ascii="Open Sans" w:hAnsi="Open Sans" w:cs="Open Sans"/>
                <w:b/>
                <w:sz w:val="18"/>
                <w:szCs w:val="18"/>
              </w:rPr>
              <w:t>The Citadel</w:t>
            </w:r>
          </w:p>
        </w:tc>
      </w:tr>
      <w:tr w:rsidR="00337B33" w:rsidRPr="009C4B82" w:rsidTr="00337B33">
        <w:tc>
          <w:tcPr>
            <w:tcW w:w="9350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tabs>
                <w:tab w:val="left" w:pos="615"/>
              </w:tabs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>VISTA(s):</w:t>
            </w:r>
            <w:r w:rsidR="00F93AA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8201F3">
              <w:rPr>
                <w:rFonts w:ascii="Open Sans" w:hAnsi="Open Sans" w:cs="Open Sans"/>
                <w:b/>
                <w:sz w:val="18"/>
                <w:szCs w:val="18"/>
              </w:rPr>
              <w:t xml:space="preserve">Carman </w:t>
            </w:r>
            <w:r w:rsidR="00F93AAC">
              <w:rPr>
                <w:rFonts w:ascii="Open Sans" w:hAnsi="Open Sans" w:cs="Open Sans"/>
                <w:b/>
                <w:sz w:val="18"/>
                <w:szCs w:val="18"/>
              </w:rPr>
              <w:t xml:space="preserve">W </w:t>
            </w:r>
            <w:r w:rsidR="008201F3">
              <w:rPr>
                <w:rFonts w:ascii="Open Sans" w:hAnsi="Open Sans" w:cs="Open Sans"/>
                <w:b/>
                <w:sz w:val="18"/>
                <w:szCs w:val="18"/>
              </w:rPr>
              <w:t>Fowler, Donnie Chestnut</w:t>
            </w:r>
          </w:p>
        </w:tc>
      </w:tr>
      <w:tr w:rsidR="00337B33" w:rsidRPr="009C4B82" w:rsidTr="00337B33">
        <w:tc>
          <w:tcPr>
            <w:tcW w:w="9350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>Title of event:</w:t>
            </w:r>
            <w:r w:rsidR="00F93AAC">
              <w:rPr>
                <w:rFonts w:ascii="Open Sans" w:hAnsi="Open Sans" w:cs="Open Sans"/>
                <w:b/>
                <w:sz w:val="18"/>
                <w:szCs w:val="18"/>
              </w:rPr>
              <w:t xml:space="preserve"> </w:t>
            </w:r>
            <w:r w:rsidR="00123CC2">
              <w:rPr>
                <w:rFonts w:ascii="Open Sans" w:hAnsi="Open Sans" w:cs="Open Sans"/>
                <w:b/>
                <w:sz w:val="18"/>
                <w:szCs w:val="18"/>
              </w:rPr>
              <w:t>MLK Day Parade &amp;</w:t>
            </w:r>
            <w:r w:rsidR="008201F3">
              <w:rPr>
                <w:rFonts w:ascii="Open Sans" w:hAnsi="Open Sans" w:cs="Open Sans"/>
                <w:b/>
                <w:sz w:val="18"/>
                <w:szCs w:val="18"/>
              </w:rPr>
              <w:t xml:space="preserve"> MLK Day of Service</w:t>
            </w:r>
          </w:p>
        </w:tc>
      </w:tr>
      <w:tr w:rsidR="00337B33" w:rsidRPr="009C4B82" w:rsidTr="00337B33">
        <w:tc>
          <w:tcPr>
            <w:tcW w:w="9350" w:type="dxa"/>
            <w:shd w:val="clear" w:color="auto" w:fill="F2F2F2" w:themeFill="background1" w:themeFillShade="F2"/>
          </w:tcPr>
          <w:p w:rsidR="00F93AAC" w:rsidRDefault="00337B33" w:rsidP="00F93A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>Date, time and location of the event:</w:t>
            </w:r>
          </w:p>
          <w:p w:rsidR="00337B33" w:rsidRPr="009C4B82" w:rsidRDefault="008201F3" w:rsidP="00F93AAC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sz w:val="18"/>
                <w:szCs w:val="18"/>
              </w:rPr>
              <w:t>Jan. 16</w:t>
            </w:r>
            <w:r w:rsidRPr="008201F3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th</w:t>
            </w:r>
            <w:r w:rsidR="00A77C10">
              <w:rPr>
                <w:rFonts w:ascii="Open Sans" w:hAnsi="Open Sans" w:cs="Open Sans"/>
                <w:b/>
                <w:sz w:val="18"/>
                <w:szCs w:val="18"/>
                <w:vertAlign w:val="superscript"/>
              </w:rPr>
              <w:t>,</w:t>
            </w:r>
            <w:r>
              <w:rPr>
                <w:rFonts w:ascii="Open Sans" w:hAnsi="Open Sans" w:cs="Open Sans"/>
                <w:b/>
                <w:sz w:val="18"/>
                <w:szCs w:val="18"/>
              </w:rPr>
              <w:t xml:space="preserve"> 7:30am – 5:00pm</w:t>
            </w:r>
            <w:r w:rsidR="00A77C10">
              <w:rPr>
                <w:rFonts w:ascii="Open Sans" w:hAnsi="Open Sans" w:cs="Open Sans"/>
                <w:b/>
                <w:sz w:val="18"/>
                <w:szCs w:val="18"/>
              </w:rPr>
              <w:t xml:space="preserve"> in Charleston, South Carolina (</w:t>
            </w:r>
            <w:r w:rsidR="00F720A5">
              <w:rPr>
                <w:rFonts w:ascii="Open Sans" w:hAnsi="Open Sans" w:cs="Open Sans"/>
                <w:b/>
                <w:sz w:val="18"/>
                <w:szCs w:val="18"/>
              </w:rPr>
              <w:t>Parade: Downtown Area;</w:t>
            </w:r>
            <w:r w:rsidR="00A77C10">
              <w:rPr>
                <w:rFonts w:ascii="Open Sans" w:hAnsi="Open Sans" w:cs="Open Sans"/>
                <w:b/>
                <w:sz w:val="18"/>
                <w:szCs w:val="18"/>
              </w:rPr>
              <w:t xml:space="preserve"> Afternoon Service: Charles Towne Landing, </w:t>
            </w:r>
            <w:proofErr w:type="spellStart"/>
            <w:r w:rsidR="00A77C10">
              <w:rPr>
                <w:rFonts w:ascii="Open Sans" w:hAnsi="Open Sans" w:cs="Open Sans"/>
                <w:b/>
                <w:sz w:val="18"/>
                <w:szCs w:val="18"/>
              </w:rPr>
              <w:t>Sweetgrass</w:t>
            </w:r>
            <w:proofErr w:type="spellEnd"/>
            <w:r w:rsidR="00A77C10">
              <w:rPr>
                <w:rFonts w:ascii="Open Sans" w:hAnsi="Open Sans" w:cs="Open Sans"/>
                <w:b/>
                <w:sz w:val="18"/>
                <w:szCs w:val="18"/>
              </w:rPr>
              <w:t xml:space="preserve"> Gardens, Charleston Development Academy)</w:t>
            </w:r>
          </w:p>
        </w:tc>
      </w:tr>
    </w:tbl>
    <w:p w:rsidR="00337B33" w:rsidRPr="009C4B82" w:rsidRDefault="00337B33" w:rsidP="00337B33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337B33" w:rsidRPr="009C4B82" w:rsidTr="00337B33">
        <w:tc>
          <w:tcPr>
            <w:tcW w:w="3116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 xml:space="preserve">Total Volunteers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 xml:space="preserve">Total Hours Served 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 xml:space="preserve">Total Individuals Served </w:t>
            </w:r>
          </w:p>
        </w:tc>
      </w:tr>
      <w:tr w:rsidR="00337B33" w:rsidRPr="009C4B82" w:rsidTr="00337B33">
        <w:tc>
          <w:tcPr>
            <w:tcW w:w="3116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Students: </w:t>
            </w:r>
          </w:p>
          <w:p w:rsidR="00337B33" w:rsidRPr="009C4B82" w:rsidRDefault="002C3BC9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85 student volunteers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Community Members: </w:t>
            </w:r>
          </w:p>
          <w:p w:rsidR="008201F3" w:rsidRDefault="002C3BC9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21 Faculty/Staff volunteers</w:t>
            </w:r>
          </w:p>
          <w:p w:rsidR="002C3BC9" w:rsidRPr="009C4B82" w:rsidRDefault="002C3BC9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2C3BC9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Veterans:</w:t>
            </w:r>
          </w:p>
          <w:p w:rsidR="00337B33" w:rsidRPr="009C4B82" w:rsidRDefault="00194BEC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3</w:t>
            </w:r>
            <w:r w:rsidR="00472BC7">
              <w:rPr>
                <w:rFonts w:ascii="Open Sans" w:hAnsi="Open Sans" w:cs="Open Sans"/>
                <w:sz w:val="18"/>
                <w:szCs w:val="18"/>
              </w:rPr>
              <w:t xml:space="preserve"> Veteran volunteers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337B33" w:rsidRPr="009C4B82" w:rsidRDefault="00337B33" w:rsidP="00337B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  <w:tc>
          <w:tcPr>
            <w:tcW w:w="3117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Students: </w:t>
            </w:r>
          </w:p>
          <w:p w:rsidR="00337B33" w:rsidRPr="009C4B82" w:rsidRDefault="00B248B6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466</w:t>
            </w:r>
            <w:r w:rsidR="002C3BC9">
              <w:rPr>
                <w:rFonts w:ascii="Open Sans" w:hAnsi="Open Sans" w:cs="Open Sans"/>
                <w:sz w:val="18"/>
                <w:szCs w:val="18"/>
              </w:rPr>
              <w:t xml:space="preserve"> hours served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Community Members: </w:t>
            </w:r>
          </w:p>
          <w:p w:rsidR="008201F3" w:rsidRDefault="00194BEC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92</w:t>
            </w:r>
            <w:r w:rsidR="002C3BC9">
              <w:rPr>
                <w:rFonts w:ascii="Open Sans" w:hAnsi="Open Sans" w:cs="Open Sans"/>
                <w:sz w:val="18"/>
                <w:szCs w:val="18"/>
              </w:rPr>
              <w:t xml:space="preserve"> hours served by Faculty/Staff members</w:t>
            </w:r>
          </w:p>
          <w:p w:rsidR="002C3BC9" w:rsidRPr="009C4B82" w:rsidRDefault="002C3BC9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7B33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Veterans:</w:t>
            </w:r>
          </w:p>
          <w:p w:rsidR="002C3BC9" w:rsidRPr="009C4B82" w:rsidRDefault="00194BEC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15</w:t>
            </w:r>
            <w:r w:rsidR="00472BC7">
              <w:rPr>
                <w:rFonts w:ascii="Open Sans" w:hAnsi="Open Sans" w:cs="Open Sans"/>
                <w:sz w:val="18"/>
                <w:szCs w:val="18"/>
              </w:rPr>
              <w:t xml:space="preserve"> hours served </w:t>
            </w:r>
          </w:p>
        </w:tc>
        <w:tc>
          <w:tcPr>
            <w:tcW w:w="3117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Children: </w:t>
            </w:r>
            <w:r w:rsidR="003A40B5">
              <w:rPr>
                <w:rFonts w:ascii="Open Sans" w:hAnsi="Open Sans" w:cs="Open Sans"/>
                <w:sz w:val="18"/>
                <w:szCs w:val="18"/>
              </w:rPr>
              <w:t xml:space="preserve">75 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Adults: </w:t>
            </w:r>
            <w:r w:rsidR="003A40B5">
              <w:rPr>
                <w:rFonts w:ascii="Open Sans" w:hAnsi="Open Sans" w:cs="Open Sans"/>
                <w:sz w:val="18"/>
                <w:szCs w:val="18"/>
              </w:rPr>
              <w:t>N/A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Undetermined age: </w:t>
            </w:r>
            <w:r w:rsidR="003A40B5">
              <w:rPr>
                <w:rFonts w:ascii="Open Sans" w:hAnsi="Open Sans" w:cs="Open Sans"/>
                <w:sz w:val="18"/>
                <w:szCs w:val="18"/>
              </w:rPr>
              <w:t>N/A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Veterans: </w:t>
            </w:r>
            <w:r w:rsidR="003A40B5">
              <w:rPr>
                <w:rFonts w:ascii="Open Sans" w:hAnsi="Open Sans" w:cs="Open Sans"/>
                <w:sz w:val="18"/>
                <w:szCs w:val="18"/>
              </w:rPr>
              <w:t>N/A</w:t>
            </w:r>
          </w:p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:rsidR="00337B33" w:rsidRPr="009C4B82" w:rsidRDefault="00337B33" w:rsidP="00337B33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37B33" w:rsidRPr="009C4B82" w:rsidTr="00337B33">
        <w:tc>
          <w:tcPr>
            <w:tcW w:w="9350" w:type="dxa"/>
            <w:gridSpan w:val="2"/>
            <w:shd w:val="clear" w:color="auto" w:fill="F2F2F2" w:themeFill="background1" w:themeFillShade="F2"/>
          </w:tcPr>
          <w:p w:rsidR="00337B33" w:rsidRPr="009C4B82" w:rsidRDefault="00337B33" w:rsidP="00337B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 xml:space="preserve">Total Resources Leveraged </w:t>
            </w:r>
          </w:p>
        </w:tc>
      </w:tr>
      <w:tr w:rsidR="00337B33" w:rsidRPr="009C4B82" w:rsidTr="00152459">
        <w:tc>
          <w:tcPr>
            <w:tcW w:w="4675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In-kind: </w:t>
            </w:r>
            <w:r w:rsidR="006F427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  <w:tc>
          <w:tcPr>
            <w:tcW w:w="4675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Cash: </w:t>
            </w:r>
            <w:r w:rsidR="006F4276">
              <w:rPr>
                <w:rFonts w:ascii="Open Sans" w:hAnsi="Open Sans" w:cs="Open Sans"/>
                <w:sz w:val="18"/>
                <w:szCs w:val="18"/>
              </w:rPr>
              <w:t>N/A</w:t>
            </w:r>
          </w:p>
        </w:tc>
      </w:tr>
    </w:tbl>
    <w:p w:rsidR="00337B33" w:rsidRPr="009C4B82" w:rsidRDefault="00337B33" w:rsidP="00337B33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37B33" w:rsidRPr="009C4B82" w:rsidTr="00337B33">
        <w:tc>
          <w:tcPr>
            <w:tcW w:w="9350" w:type="dxa"/>
            <w:shd w:val="clear" w:color="auto" w:fill="F2F2F2" w:themeFill="background1" w:themeFillShade="F2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>Choose the primary focus of your MLK Day Project(s):</w:t>
            </w:r>
          </w:p>
        </w:tc>
      </w:tr>
      <w:tr w:rsidR="00337B33" w:rsidRPr="009C4B82" w:rsidTr="00337B33">
        <w:tc>
          <w:tcPr>
            <w:tcW w:w="9350" w:type="dxa"/>
          </w:tcPr>
          <w:p w:rsidR="00337B33" w:rsidRPr="009C4B82" w:rsidRDefault="00337B33" w:rsidP="00337B33">
            <w:pPr>
              <w:rPr>
                <w:rFonts w:ascii="Open Sans" w:hAnsi="Open Sans" w:cs="Open Sans"/>
                <w:b/>
                <w:sz w:val="18"/>
                <w:szCs w:val="18"/>
              </w:rPr>
            </w:pP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114507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>Veterans and Military Families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9181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>Disaster Services Economic Opportunity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60913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 xml:space="preserve">Healthy Futures 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52333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>Environmental Stewardship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94859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97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>Education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590156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>Food Access</w:t>
            </w:r>
          </w:p>
          <w:p w:rsidR="00337B33" w:rsidRPr="009C4B82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9646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7B33" w:rsidRPr="009C4B82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337B33" w:rsidRPr="009C4B82">
              <w:rPr>
                <w:rFonts w:ascii="Open Sans" w:hAnsi="Open Sans" w:cs="Open Sans"/>
                <w:sz w:val="18"/>
                <w:szCs w:val="18"/>
              </w:rPr>
              <w:t xml:space="preserve">Serving Individuals with Disabilities </w:t>
            </w:r>
          </w:p>
          <w:p w:rsidR="00F47D39" w:rsidRDefault="00193F7E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6242948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3D97"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 w:rsidR="00337B33" w:rsidRPr="009C4B82">
              <w:rPr>
                <w:sz w:val="18"/>
                <w:szCs w:val="18"/>
              </w:rPr>
              <w:t xml:space="preserve"> </w:t>
            </w:r>
            <w:r w:rsidR="00DF3D97">
              <w:rPr>
                <w:rFonts w:ascii="Open Sans" w:hAnsi="Open Sans" w:cs="Open Sans"/>
                <w:sz w:val="18"/>
                <w:szCs w:val="18"/>
              </w:rPr>
              <w:t xml:space="preserve">Other (Please Explain): </w:t>
            </w:r>
          </w:p>
          <w:p w:rsidR="00337B33" w:rsidRPr="009C4B82" w:rsidRDefault="00F47D39" w:rsidP="00337B33">
            <w:pPr>
              <w:ind w:left="360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         </w:t>
            </w:r>
            <w:r w:rsidR="00DF3D97">
              <w:rPr>
                <w:rFonts w:ascii="Open Sans" w:hAnsi="Open Sans" w:cs="Open Sans"/>
                <w:sz w:val="18"/>
                <w:szCs w:val="18"/>
              </w:rPr>
              <w:t>Community Building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: Since our sites throughout the day were so varied, our </w:t>
            </w:r>
            <w:r w:rsidR="00005C1C">
              <w:rPr>
                <w:rFonts w:ascii="Open Sans" w:hAnsi="Open Sans" w:cs="Open Sans"/>
                <w:sz w:val="18"/>
                <w:szCs w:val="18"/>
              </w:rPr>
              <w:t xml:space="preserve">focus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was </w:t>
            </w:r>
            <w:r w:rsidR="00005C1C">
              <w:rPr>
                <w:rFonts w:ascii="Open Sans" w:hAnsi="Open Sans" w:cs="Open Sans"/>
                <w:sz w:val="18"/>
                <w:szCs w:val="18"/>
              </w:rPr>
              <w:t xml:space="preserve">determined to be </w:t>
            </w:r>
            <w:r>
              <w:rPr>
                <w:rFonts w:ascii="Open Sans" w:hAnsi="Open Sans" w:cs="Open Sans"/>
                <w:sz w:val="18"/>
                <w:szCs w:val="18"/>
              </w:rPr>
              <w:t>community building. We aimed to support our local community partners and use our time and manpower to complete projects that would bolster and impro</w:t>
            </w:r>
            <w:r w:rsidR="00005C1C">
              <w:rPr>
                <w:rFonts w:ascii="Open Sans" w:hAnsi="Open Sans" w:cs="Open Sans"/>
                <w:sz w:val="18"/>
                <w:szCs w:val="18"/>
              </w:rPr>
              <w:t xml:space="preserve">ve their day to day proceedings as they serve the community in various, important ways.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</w:p>
          <w:p w:rsidR="00337B33" w:rsidRPr="009C4B82" w:rsidRDefault="00337B33" w:rsidP="00337B33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</w:p>
        </w:tc>
      </w:tr>
    </w:tbl>
    <w:p w:rsidR="00337B33" w:rsidRPr="009C4B82" w:rsidRDefault="00337B33" w:rsidP="00337B33">
      <w:pPr>
        <w:jc w:val="center"/>
        <w:rPr>
          <w:rFonts w:ascii="Open Sans" w:hAnsi="Open Sans" w:cs="Open Sans"/>
          <w:b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C4B82" w:rsidRPr="009C4B82" w:rsidTr="009C4B82">
        <w:tc>
          <w:tcPr>
            <w:tcW w:w="9350" w:type="dxa"/>
            <w:shd w:val="clear" w:color="auto" w:fill="F2F2F2" w:themeFill="background1" w:themeFillShade="F2"/>
          </w:tcPr>
          <w:p w:rsidR="009C4B82" w:rsidRPr="009C4B82" w:rsidRDefault="009C4B82" w:rsidP="009C4B82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b/>
                <w:sz w:val="18"/>
                <w:szCs w:val="18"/>
              </w:rPr>
              <w:t>Total Number of Community Partner Sites:</w:t>
            </w:r>
            <w:r w:rsidR="00DF3D97">
              <w:rPr>
                <w:rFonts w:ascii="Open Sans" w:hAnsi="Open Sans" w:cs="Open Sans"/>
                <w:b/>
                <w:sz w:val="18"/>
                <w:szCs w:val="18"/>
              </w:rPr>
              <w:t xml:space="preserve"> 4</w:t>
            </w:r>
          </w:p>
        </w:tc>
      </w:tr>
      <w:tr w:rsidR="009C4B82" w:rsidRPr="009C4B82" w:rsidTr="009C4B82">
        <w:tc>
          <w:tcPr>
            <w:tcW w:w="9350" w:type="dxa"/>
            <w:shd w:val="clear" w:color="auto" w:fill="F2F2F2" w:themeFill="background1" w:themeFillShade="F2"/>
          </w:tcPr>
          <w:p w:rsidR="009C4B82" w:rsidRPr="009C4B82" w:rsidRDefault="009C4B82" w:rsidP="009738D5">
            <w:pP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</w:pPr>
            <w:r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>List under the accurate focus</w:t>
            </w:r>
            <w:r w:rsidR="009738D5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area the full name of the community partner(s) utilized for MLK Day events</w:t>
            </w:r>
            <w:r w:rsidRPr="009C4B82">
              <w:rPr>
                <w:rFonts w:ascii="Open Sans" w:eastAsia="Times New Roman" w:hAnsi="Open Sans" w:cs="Open Sans"/>
                <w:b/>
                <w:bCs/>
                <w:sz w:val="18"/>
                <w:szCs w:val="18"/>
              </w:rPr>
              <w:t xml:space="preserve"> AND describe the activities for each location. </w:t>
            </w:r>
          </w:p>
        </w:tc>
      </w:tr>
      <w:tr w:rsidR="009C4B82" w:rsidRPr="009C4B82" w:rsidTr="009C4B82">
        <w:tc>
          <w:tcPr>
            <w:tcW w:w="9350" w:type="dxa"/>
          </w:tcPr>
          <w:p w:rsidR="009C4B82" w:rsidRPr="009C4B82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Veterans and Military Families:</w:t>
            </w:r>
          </w:p>
        </w:tc>
      </w:tr>
      <w:tr w:rsidR="009C4B82" w:rsidRPr="009C4B82" w:rsidTr="009C4B82">
        <w:tc>
          <w:tcPr>
            <w:tcW w:w="9350" w:type="dxa"/>
          </w:tcPr>
          <w:p w:rsidR="009C4B82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Disaster Services Economic Opportunity:</w:t>
            </w:r>
            <w:r w:rsidR="00F47D39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F47D39" w:rsidRPr="009C4B82" w:rsidRDefault="00F47D39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Charles Towne Landing: Volunteers worked to clear the puma cage of debris still left over from Hurricane Matthew so that the animals could be returned to their cage – by returning them the animals are given a more open area and visitors will have a more educational experience by being able to actually see the animals.</w:t>
            </w:r>
          </w:p>
        </w:tc>
      </w:tr>
      <w:tr w:rsidR="009C4B82" w:rsidRPr="009C4B82" w:rsidTr="009C4B82">
        <w:tc>
          <w:tcPr>
            <w:tcW w:w="9350" w:type="dxa"/>
          </w:tcPr>
          <w:p w:rsidR="009C4B82" w:rsidRPr="009C4B82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Healthy Futures:</w:t>
            </w:r>
          </w:p>
        </w:tc>
      </w:tr>
      <w:tr w:rsidR="009C4B82" w:rsidRPr="009C4B82" w:rsidTr="009C4B82">
        <w:tc>
          <w:tcPr>
            <w:tcW w:w="9350" w:type="dxa"/>
          </w:tcPr>
          <w:p w:rsidR="00CB25C2" w:rsidRPr="009C4B82" w:rsidRDefault="009C4B82" w:rsidP="00A77C10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Environmental Stewardship:</w:t>
            </w:r>
            <w:r w:rsidR="006F42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4B82" w:rsidRPr="009C4B82" w:rsidTr="009C4B82">
        <w:tc>
          <w:tcPr>
            <w:tcW w:w="9350" w:type="dxa"/>
          </w:tcPr>
          <w:p w:rsidR="001A2C39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Education:</w:t>
            </w:r>
            <w:r w:rsidR="006F4276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  <w:p w:rsidR="009C4B82" w:rsidRPr="009C4B82" w:rsidRDefault="006F4276" w:rsidP="00F47D39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 xml:space="preserve">Charleston Development Academy: 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Volunteers worked to clear out the building which will serve as the new middle school location for CDA. </w:t>
            </w:r>
            <w:r w:rsidR="00703953">
              <w:rPr>
                <w:rFonts w:ascii="Open Sans" w:hAnsi="Open Sans" w:cs="Open Sans"/>
                <w:sz w:val="18"/>
                <w:szCs w:val="18"/>
              </w:rPr>
              <w:t xml:space="preserve">They cleared out debris, removed leftover furniture and items, and </w:t>
            </w:r>
            <w:proofErr w:type="spellStart"/>
            <w:r w:rsidR="00703953">
              <w:rPr>
                <w:rFonts w:ascii="Open Sans" w:hAnsi="Open Sans" w:cs="Open Sans"/>
                <w:sz w:val="18"/>
                <w:szCs w:val="18"/>
              </w:rPr>
              <w:t>sweeped</w:t>
            </w:r>
            <w:proofErr w:type="spellEnd"/>
            <w:r w:rsidR="00703953">
              <w:rPr>
                <w:rFonts w:ascii="Open Sans" w:hAnsi="Open Sans" w:cs="Open Sans"/>
                <w:sz w:val="18"/>
                <w:szCs w:val="18"/>
              </w:rPr>
              <w:t xml:space="preserve"> the rooms going to be used as classrooms in the future. </w:t>
            </w:r>
            <w:r w:rsidR="00F47D39">
              <w:rPr>
                <w:rFonts w:ascii="Open Sans" w:hAnsi="Open Sans" w:cs="Open Sans"/>
                <w:sz w:val="18"/>
                <w:szCs w:val="18"/>
              </w:rPr>
              <w:t>CDA is a Title I school serving local y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outh </w:t>
            </w:r>
            <w:r w:rsidR="00F47D39">
              <w:rPr>
                <w:rFonts w:ascii="Open Sans" w:hAnsi="Open Sans" w:cs="Open Sans"/>
                <w:sz w:val="18"/>
                <w:szCs w:val="18"/>
              </w:rPr>
              <w:t xml:space="preserve">in the Charleston area 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to provide them with a quality education and is </w:t>
            </w:r>
            <w:r w:rsidR="00F47D39">
              <w:rPr>
                <w:rFonts w:ascii="Open Sans" w:hAnsi="Open Sans" w:cs="Open Sans"/>
                <w:sz w:val="18"/>
                <w:szCs w:val="18"/>
              </w:rPr>
              <w:t xml:space="preserve">currently 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in </w:t>
            </w:r>
            <w:r w:rsidR="00BC5026">
              <w:rPr>
                <w:rFonts w:ascii="Open Sans" w:hAnsi="Open Sans" w:cs="Open Sans"/>
                <w:sz w:val="18"/>
                <w:szCs w:val="18"/>
              </w:rPr>
              <w:t>its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 8</w:t>
            </w:r>
            <w:r w:rsidR="00454684" w:rsidRPr="00454684">
              <w:rPr>
                <w:rFonts w:ascii="Open Sans" w:hAnsi="Open Sans" w:cs="Open Sans"/>
                <w:sz w:val="18"/>
                <w:szCs w:val="18"/>
                <w:vertAlign w:val="superscript"/>
              </w:rPr>
              <w:t>th</w:t>
            </w:r>
            <w:r w:rsidR="00454684">
              <w:rPr>
                <w:rFonts w:ascii="Open Sans" w:hAnsi="Open Sans" w:cs="Open Sans"/>
                <w:sz w:val="18"/>
                <w:szCs w:val="18"/>
              </w:rPr>
              <w:t xml:space="preserve"> year of operation. </w:t>
            </w:r>
          </w:p>
        </w:tc>
      </w:tr>
      <w:tr w:rsidR="009C4B82" w:rsidRPr="009C4B82" w:rsidTr="009C4B82">
        <w:tc>
          <w:tcPr>
            <w:tcW w:w="9350" w:type="dxa"/>
          </w:tcPr>
          <w:p w:rsidR="009C4B82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>Food Access:</w:t>
            </w:r>
          </w:p>
          <w:p w:rsidR="00CB25C2" w:rsidRPr="009C4B82" w:rsidRDefault="00CB25C2" w:rsidP="00BB351A">
            <w:pPr>
              <w:rPr>
                <w:rFonts w:ascii="Open Sans" w:hAnsi="Open Sans" w:cs="Open Sans"/>
                <w:sz w:val="18"/>
                <w:szCs w:val="18"/>
              </w:rPr>
            </w:pPr>
            <w:proofErr w:type="spellStart"/>
            <w:r>
              <w:rPr>
                <w:rFonts w:ascii="Open Sans" w:hAnsi="Open Sans" w:cs="Open Sans"/>
                <w:sz w:val="18"/>
                <w:szCs w:val="18"/>
              </w:rPr>
              <w:lastRenderedPageBreak/>
              <w:t>Sweetgrass</w:t>
            </w:r>
            <w:proofErr w:type="spellEnd"/>
            <w:r>
              <w:rPr>
                <w:rFonts w:ascii="Open Sans" w:hAnsi="Open Sans" w:cs="Open Sans"/>
                <w:sz w:val="18"/>
                <w:szCs w:val="18"/>
              </w:rPr>
              <w:t xml:space="preserve"> Gardens: 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Volunteers spent their time clearing away invasive species that had grown into the farm area and digging irrigation trenches to keep the fields from flooding. </w:t>
            </w:r>
            <w:r w:rsidR="001776EB">
              <w:rPr>
                <w:rFonts w:ascii="Open Sans" w:hAnsi="Open Sans" w:cs="Open Sans"/>
                <w:sz w:val="18"/>
                <w:szCs w:val="18"/>
              </w:rPr>
              <w:t xml:space="preserve">All food 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that is </w:t>
            </w:r>
            <w:r w:rsidR="001776EB">
              <w:rPr>
                <w:rFonts w:ascii="Open Sans" w:hAnsi="Open Sans" w:cs="Open Sans"/>
                <w:sz w:val="18"/>
                <w:szCs w:val="18"/>
              </w:rPr>
              <w:t>grown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 at </w:t>
            </w:r>
            <w:proofErr w:type="spellStart"/>
            <w:r w:rsidR="007D0324">
              <w:rPr>
                <w:rFonts w:ascii="Open Sans" w:hAnsi="Open Sans" w:cs="Open Sans"/>
                <w:sz w:val="18"/>
                <w:szCs w:val="18"/>
              </w:rPr>
              <w:t>Sweetgrass</w:t>
            </w:r>
            <w:proofErr w:type="spellEnd"/>
            <w:r w:rsidR="001776EB">
              <w:rPr>
                <w:rFonts w:ascii="Open Sans" w:hAnsi="Open Sans" w:cs="Open Sans"/>
                <w:sz w:val="18"/>
                <w:szCs w:val="18"/>
              </w:rPr>
              <w:t xml:space="preserve"> is given away 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to individuals who are homeless or in need </w:t>
            </w:r>
            <w:r w:rsidR="001776EB">
              <w:rPr>
                <w:rFonts w:ascii="Open Sans" w:hAnsi="Open Sans" w:cs="Open Sans"/>
                <w:sz w:val="18"/>
                <w:szCs w:val="18"/>
              </w:rPr>
              <w:t>through local churches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 around</w:t>
            </w:r>
            <w:r w:rsidR="00BB351A">
              <w:rPr>
                <w:rFonts w:ascii="Open Sans" w:hAnsi="Open Sans" w:cs="Open Sans"/>
                <w:sz w:val="18"/>
                <w:szCs w:val="18"/>
              </w:rPr>
              <w:t xml:space="preserve"> the greater Charleston area</w:t>
            </w:r>
            <w:r w:rsidR="0054348A">
              <w:rPr>
                <w:rFonts w:ascii="Open Sans" w:hAnsi="Open Sans" w:cs="Open Sans"/>
                <w:sz w:val="18"/>
                <w:szCs w:val="18"/>
              </w:rPr>
              <w:t xml:space="preserve">. </w:t>
            </w:r>
            <w:r w:rsidR="007D0324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</w:p>
        </w:tc>
      </w:tr>
      <w:tr w:rsidR="009C4B82" w:rsidRPr="009C4B82" w:rsidTr="009C4B82">
        <w:tc>
          <w:tcPr>
            <w:tcW w:w="9350" w:type="dxa"/>
          </w:tcPr>
          <w:p w:rsidR="009C4B82" w:rsidRPr="009C4B82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lastRenderedPageBreak/>
              <w:t>Serving Individuals with Disabilities:</w:t>
            </w:r>
          </w:p>
        </w:tc>
      </w:tr>
      <w:tr w:rsidR="009C4B82" w:rsidRPr="009C4B82" w:rsidTr="009C4B82">
        <w:tc>
          <w:tcPr>
            <w:tcW w:w="9350" w:type="dxa"/>
          </w:tcPr>
          <w:p w:rsidR="00DF3D97" w:rsidRDefault="009C4B82" w:rsidP="009C4B82">
            <w:pPr>
              <w:rPr>
                <w:rFonts w:ascii="Open Sans" w:hAnsi="Open Sans" w:cs="Open Sans"/>
                <w:sz w:val="18"/>
                <w:szCs w:val="18"/>
              </w:rPr>
            </w:pPr>
            <w:r w:rsidRPr="009C4B82">
              <w:rPr>
                <w:rFonts w:ascii="Open Sans" w:hAnsi="Open Sans" w:cs="Open Sans"/>
                <w:sz w:val="18"/>
                <w:szCs w:val="18"/>
              </w:rPr>
              <w:t xml:space="preserve">Other (Please Explain): </w:t>
            </w:r>
          </w:p>
          <w:p w:rsidR="009C4B82" w:rsidRPr="009C4B82" w:rsidRDefault="00DF3D97" w:rsidP="00AF5F73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MLK Day Parade: Volunteers participated</w:t>
            </w:r>
            <w:r w:rsidR="00193F7E">
              <w:rPr>
                <w:rFonts w:ascii="Open Sans" w:hAnsi="Open Sans" w:cs="Open Sans"/>
                <w:sz w:val="18"/>
                <w:szCs w:val="18"/>
              </w:rPr>
              <w:t xml:space="preserve"> in a parade that has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huge sig</w:t>
            </w:r>
            <w:bookmarkStart w:id="0" w:name="_GoBack"/>
            <w:bookmarkEnd w:id="0"/>
            <w:r>
              <w:rPr>
                <w:rFonts w:ascii="Open Sans" w:hAnsi="Open Sans" w:cs="Open Sans"/>
                <w:sz w:val="18"/>
                <w:szCs w:val="18"/>
              </w:rPr>
              <w:t>nificance in Charleston, especially for the African American population, as the route follows in the footsteps of the march made by Coretta Scott King wit</w:t>
            </w:r>
            <w:r w:rsidR="00193F7E">
              <w:rPr>
                <w:rFonts w:ascii="Open Sans" w:hAnsi="Open Sans" w:cs="Open Sans"/>
                <w:sz w:val="18"/>
                <w:szCs w:val="18"/>
              </w:rPr>
              <w:t xml:space="preserve">h </w:t>
            </w:r>
            <w:r>
              <w:rPr>
                <w:rFonts w:ascii="Open Sans" w:hAnsi="Open Sans" w:cs="Open Sans"/>
                <w:sz w:val="18"/>
                <w:szCs w:val="18"/>
              </w:rPr>
              <w:t>MUSC medical staff</w:t>
            </w:r>
            <w:r w:rsidR="00193F7E">
              <w:rPr>
                <w:rFonts w:ascii="Open Sans" w:hAnsi="Open Sans" w:cs="Open Sans"/>
                <w:sz w:val="18"/>
                <w:szCs w:val="18"/>
              </w:rPr>
              <w:t xml:space="preserve"> on strike to gain equal pay</w:t>
            </w:r>
            <w:r>
              <w:rPr>
                <w:rFonts w:ascii="Open Sans" w:hAnsi="Open Sans" w:cs="Open Sans"/>
                <w:sz w:val="18"/>
                <w:szCs w:val="18"/>
              </w:rPr>
              <w:t>. Presence in this parade is an unprecedented move for The Citadel, demonstrating the college’s</w:t>
            </w:r>
            <w:r w:rsidR="00AF5F73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active engagement in the surrounding community. </w:t>
            </w:r>
          </w:p>
        </w:tc>
      </w:tr>
    </w:tbl>
    <w:p w:rsidR="009C4B82" w:rsidRPr="009C4B82" w:rsidRDefault="009C4B82" w:rsidP="00C52389">
      <w:pPr>
        <w:rPr>
          <w:rFonts w:ascii="Open Sans" w:hAnsi="Open Sans" w:cs="Open Sans"/>
          <w:b/>
          <w:sz w:val="18"/>
          <w:szCs w:val="18"/>
        </w:rPr>
      </w:pPr>
    </w:p>
    <w:sectPr w:rsidR="009C4B82" w:rsidRPr="009C4B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1E" w:rsidRDefault="00817F1E" w:rsidP="009C4B82">
      <w:pPr>
        <w:spacing w:after="0" w:line="240" w:lineRule="auto"/>
      </w:pPr>
      <w:r>
        <w:separator/>
      </w:r>
    </w:p>
  </w:endnote>
  <w:endnote w:type="continuationSeparator" w:id="0">
    <w:p w:rsidR="00817F1E" w:rsidRDefault="00817F1E" w:rsidP="009C4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5" w:rsidRDefault="009738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5" w:rsidRDefault="009738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5" w:rsidRDefault="00973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1E" w:rsidRDefault="00817F1E" w:rsidP="009C4B82">
      <w:pPr>
        <w:spacing w:after="0" w:line="240" w:lineRule="auto"/>
      </w:pPr>
      <w:r>
        <w:separator/>
      </w:r>
    </w:p>
  </w:footnote>
  <w:footnote w:type="continuationSeparator" w:id="0">
    <w:p w:rsidR="00817F1E" w:rsidRDefault="00817F1E" w:rsidP="009C4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5" w:rsidRDefault="009738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4B82" w:rsidRPr="009C4B82" w:rsidRDefault="009738D5" w:rsidP="009C4B82">
    <w:pPr>
      <w:rPr>
        <w:rFonts w:ascii="Open Sans" w:hAnsi="Open Sans" w:cs="Open Sans"/>
        <w:b/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F8BEF6E" wp14:editId="666D512F">
          <wp:simplePos x="0" y="0"/>
          <wp:positionH relativeFrom="column">
            <wp:posOffset>4972050</wp:posOffset>
          </wp:positionH>
          <wp:positionV relativeFrom="paragraph">
            <wp:posOffset>-400050</wp:posOffset>
          </wp:positionV>
          <wp:extent cx="975360" cy="97536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975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4B82" w:rsidRPr="009C4B82">
      <w:rPr>
        <w:rFonts w:ascii="Open Sans" w:hAnsi="Open Sans" w:cs="Open Sans"/>
        <w:b/>
        <w:sz w:val="20"/>
      </w:rPr>
      <w:t>MLK National Day of Service Impact Summary 2017</w:t>
    </w:r>
    <w:r>
      <w:rPr>
        <w:rFonts w:ascii="Open Sans" w:hAnsi="Open Sans" w:cs="Open Sans"/>
        <w:b/>
        <w:sz w:val="20"/>
      </w:rPr>
      <w:t xml:space="preserve">  </w:t>
    </w:r>
  </w:p>
  <w:p w:rsidR="009C4B82" w:rsidRDefault="009C4B82" w:rsidP="009C4B82">
    <w:pPr>
      <w:pStyle w:val="Header"/>
      <w:tabs>
        <w:tab w:val="clear" w:pos="4680"/>
        <w:tab w:val="clear" w:pos="9360"/>
        <w:tab w:val="left" w:pos="85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8D5" w:rsidRDefault="009738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8D6158"/>
    <w:multiLevelType w:val="hybridMultilevel"/>
    <w:tmpl w:val="9E9C7702"/>
    <w:lvl w:ilvl="0" w:tplc="F3861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F14D5"/>
    <w:multiLevelType w:val="hybridMultilevel"/>
    <w:tmpl w:val="78FCC544"/>
    <w:lvl w:ilvl="0" w:tplc="6B400B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45BAE"/>
    <w:multiLevelType w:val="hybridMultilevel"/>
    <w:tmpl w:val="FA4A963E"/>
    <w:lvl w:ilvl="0" w:tplc="A1301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33"/>
    <w:rsid w:val="00005C1C"/>
    <w:rsid w:val="00123CC2"/>
    <w:rsid w:val="001776EB"/>
    <w:rsid w:val="00193F7E"/>
    <w:rsid w:val="00194BEC"/>
    <w:rsid w:val="001A2C39"/>
    <w:rsid w:val="001C4E45"/>
    <w:rsid w:val="002C3BC9"/>
    <w:rsid w:val="00337B33"/>
    <w:rsid w:val="003A40B5"/>
    <w:rsid w:val="003B71F8"/>
    <w:rsid w:val="00407A6B"/>
    <w:rsid w:val="00454684"/>
    <w:rsid w:val="00472BC7"/>
    <w:rsid w:val="0054348A"/>
    <w:rsid w:val="00545ED3"/>
    <w:rsid w:val="006351D2"/>
    <w:rsid w:val="00655F9E"/>
    <w:rsid w:val="006F4276"/>
    <w:rsid w:val="00703953"/>
    <w:rsid w:val="007D0324"/>
    <w:rsid w:val="00817F1E"/>
    <w:rsid w:val="008201F3"/>
    <w:rsid w:val="009738D5"/>
    <w:rsid w:val="009C018B"/>
    <w:rsid w:val="009C4B82"/>
    <w:rsid w:val="00A16497"/>
    <w:rsid w:val="00A77C10"/>
    <w:rsid w:val="00AF5F73"/>
    <w:rsid w:val="00B248B6"/>
    <w:rsid w:val="00BB351A"/>
    <w:rsid w:val="00BC5026"/>
    <w:rsid w:val="00C52389"/>
    <w:rsid w:val="00CB25C2"/>
    <w:rsid w:val="00DF3D97"/>
    <w:rsid w:val="00E216B5"/>
    <w:rsid w:val="00F47D39"/>
    <w:rsid w:val="00F720A5"/>
    <w:rsid w:val="00F7388B"/>
    <w:rsid w:val="00F93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16836FF-6CC2-419B-9BCC-16DCD7241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7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7B33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82"/>
  </w:style>
  <w:style w:type="paragraph" w:styleId="Footer">
    <w:name w:val="footer"/>
    <w:basedOn w:val="Normal"/>
    <w:link w:val="FooterChar"/>
    <w:uiPriority w:val="99"/>
    <w:unhideWhenUsed/>
    <w:rsid w:val="009C4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82"/>
  </w:style>
  <w:style w:type="paragraph" w:styleId="BalloonText">
    <w:name w:val="Balloon Text"/>
    <w:basedOn w:val="Normal"/>
    <w:link w:val="BalloonTextChar"/>
    <w:uiPriority w:val="99"/>
    <w:semiHidden/>
    <w:unhideWhenUsed/>
    <w:rsid w:val="00194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2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3300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Herrmann, Emily</dc:creator>
  <cp:keywords/>
  <dc:description/>
  <cp:lastModifiedBy>Carman W Fowler</cp:lastModifiedBy>
  <cp:revision>34</cp:revision>
  <cp:lastPrinted>2017-01-18T19:47:00Z</cp:lastPrinted>
  <dcterms:created xsi:type="dcterms:W3CDTF">2017-01-13T18:49:00Z</dcterms:created>
  <dcterms:modified xsi:type="dcterms:W3CDTF">2017-01-18T19:51:00Z</dcterms:modified>
</cp:coreProperties>
</file>